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0" w:left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4к годовому отчету  </w:t>
      </w:r>
    </w:p>
    <w:p w14:paraId="02000000">
      <w:pPr>
        <w:spacing w:after="0"/>
        <w:ind/>
        <w:rPr>
          <w:rFonts w:ascii="Times New Roman" w:hAnsi="Times New Roman"/>
          <w:sz w:val="24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лучших муниципальных практиках содействия развитию конкуренции,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внедренныхв</w:t>
      </w:r>
      <w:r>
        <w:rPr>
          <w:rFonts w:ascii="Times New Roman" w:hAnsi="Times New Roman"/>
          <w:sz w:val="28"/>
        </w:rPr>
        <w:t xml:space="preserve"> муниципальном </w:t>
      </w:r>
      <w:r>
        <w:rPr>
          <w:rFonts w:ascii="Times New Roman" w:hAnsi="Times New Roman"/>
          <w:sz w:val="28"/>
        </w:rPr>
        <w:t>образовании</w:t>
      </w:r>
      <w:r>
        <w:rPr>
          <w:rFonts w:ascii="Times New Roman" w:hAnsi="Times New Roman"/>
          <w:sz w:val="28"/>
        </w:rPr>
        <w:t xml:space="preserve"> Усть-Лабинский муниципальный район Краснодарского края в 2025году </w:t>
      </w:r>
    </w:p>
    <w:p w14:paraId="05000000">
      <w:pPr>
        <w:pStyle w:val="Style_1"/>
        <w:ind/>
        <w:jc w:val="center"/>
        <w:rPr>
          <w:rFonts w:ascii="Times New Roman" w:hAnsi="Times New Roman"/>
          <w:b w:val="0"/>
          <w:sz w:val="28"/>
        </w:rPr>
      </w:pPr>
      <w:bookmarkStart w:id="1" w:name="_GoBack"/>
      <w:bookmarkEnd w:id="1"/>
    </w:p>
    <w:tbl>
      <w:tblPr>
        <w:tblStyle w:val="Style_2"/>
        <w:tblW w:type="auto" w:w="0"/>
        <w:jc w:val="center"/>
        <w:tblLayout w:type="fixed"/>
        <w:tblCellMar>
          <w:left w:type="dxa" w:w="10"/>
          <w:right w:type="dxa" w:w="10"/>
        </w:tblCellMar>
      </w:tblPr>
      <w:tblGrid>
        <w:gridCol w:w="4368"/>
        <w:gridCol w:w="10202"/>
      </w:tblGrid>
      <w:tr>
        <w:trPr>
          <w:trHeight w:hRule="exact" w:val="1160"/>
        </w:trPr>
        <w:tc>
          <w:tcPr>
            <w:tcW w:type="dxa" w:w="4368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06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type="dxa" w:w="1020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07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«Культурно-просветительские проекты»</w:t>
            </w:r>
          </w:p>
          <w:p w14:paraId="08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9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A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B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C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D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0E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exact" w:val="1017"/>
        </w:trPr>
        <w:tc>
          <w:tcPr>
            <w:tcW w:type="dxa" w:w="4368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0F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Контактная информация исполнителей </w:t>
            </w:r>
          </w:p>
        </w:tc>
        <w:tc>
          <w:tcPr>
            <w:tcW w:type="dxa" w:w="1020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100"/>
              <w:left w:type="dxa" w:w="100"/>
              <w:bottom w:type="dxa" w:w="100"/>
              <w:right w:type="dxa" w:w="100"/>
            </w:tcMar>
          </w:tcPr>
          <w:p w14:paraId="10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Карташева</w:t>
            </w:r>
            <w:r>
              <w:rPr>
                <w:rFonts w:ascii="Times New Roman" w:hAnsi="Times New Roman"/>
                <w:sz w:val="24"/>
              </w:rPr>
              <w:t xml:space="preserve"> Марина Олеговна, директор МБУК «ЦРБ МО Усть-Лабинский район», 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</w:rPr>
              <w:instrText>HYPERLINK "mailto:gor-biblioteka@yandex.ru"</w:instrTex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</w:rPr>
              <w:t>gor-biblioteka@yandex.ru,</w:t>
            </w:r>
            <w:r>
              <w:rPr>
                <w:rStyle w:val="Style_3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>+7 918 434 73 88, 8 86135 5-00-18</w:t>
            </w:r>
          </w:p>
          <w:p w14:paraId="11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exact" w:val="5247"/>
        </w:trPr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2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успешной практики</w:t>
            </w:r>
          </w:p>
          <w:p w14:paraId="13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4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5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1020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6000000">
            <w:pPr>
              <w:spacing w:line="240" w:lineRule="auto"/>
              <w:ind w:firstLine="0" w:left="9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библиотеке реализуются </w:t>
            </w:r>
            <w:r>
              <w:rPr>
                <w:rFonts w:ascii="Times New Roman" w:hAnsi="Times New Roman"/>
                <w:sz w:val="24"/>
              </w:rPr>
              <w:t>мультиформатные</w:t>
            </w:r>
            <w:r>
              <w:rPr>
                <w:rFonts w:ascii="Times New Roman" w:hAnsi="Times New Roman"/>
                <w:sz w:val="24"/>
              </w:rPr>
              <w:t xml:space="preserve"> проекты: интеллектуальные игры с разнообразными игровыми механиками, межрегиональный сетевой турнир и </w:t>
            </w:r>
            <w:r>
              <w:rPr>
                <w:rFonts w:ascii="Times New Roman" w:hAnsi="Times New Roman"/>
                <w:sz w:val="24"/>
              </w:rPr>
              <w:t>практикоориентированные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квесты</w:t>
            </w:r>
            <w:r>
              <w:rPr>
                <w:rFonts w:ascii="Times New Roman" w:hAnsi="Times New Roman"/>
                <w:sz w:val="24"/>
              </w:rPr>
              <w:t xml:space="preserve"> по библиотеке, ее фонду и даже городскому и сельскому ориентированию. Это комплекс мероприятий, направленных на развитие культурных интересов и активизацию интеллектуальной и творческой активности молодого поколения. Библиотека стала центром притяжения для подростков и молодежи, благодаря трансформации событийного пространства. Важным шагом стало внедрение мероприятий, которые сочетают интеллектуальную и познавательную активность с </w:t>
            </w:r>
            <w:r>
              <w:rPr>
                <w:rFonts w:ascii="Times New Roman" w:hAnsi="Times New Roman"/>
                <w:sz w:val="24"/>
              </w:rPr>
              <w:t>мультимедийными</w:t>
            </w:r>
            <w:r>
              <w:rPr>
                <w:rFonts w:ascii="Times New Roman" w:hAnsi="Times New Roman"/>
                <w:sz w:val="24"/>
              </w:rPr>
              <w:t xml:space="preserve"> технологиями. Циклы мероприятий, посвященные истории, культуре и науке нашей великой страны, а также краеведению, носят интеллектуально-развлекательный характер, привлекают подростков и молодежь своей </w:t>
            </w:r>
            <w:r>
              <w:rPr>
                <w:rFonts w:ascii="Times New Roman" w:hAnsi="Times New Roman"/>
                <w:sz w:val="24"/>
              </w:rPr>
              <w:t>нерегламентированностью</w:t>
            </w:r>
            <w:r>
              <w:rPr>
                <w:rFonts w:ascii="Times New Roman" w:hAnsi="Times New Roman"/>
                <w:sz w:val="24"/>
              </w:rPr>
              <w:t xml:space="preserve"> и разнообразием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выбора форм, демократичностью, эмоциональной окрашенностью, возможностью сочетать интеллектуальную, творческую, созерцательную и игровую деятельность. Важной частью этих мероприятий является использование образовательных </w:t>
            </w:r>
            <w:r>
              <w:rPr>
                <w:rStyle w:val="Style_4_ch"/>
                <w:rFonts w:ascii="Times New Roman" w:hAnsi="Times New Roman"/>
                <w:sz w:val="24"/>
              </w:rPr>
              <w:t>онлайн-сервисов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и социальных сетей. Это полностью соответствует тематике «Культурно-просветительские проекты», так как направлено на развитие культурной грамотности молодежи, повышение интереса к чтению, расширение кругозора и формирование гражданско-патриотической позиции путем участия</w:t>
            </w:r>
            <w:r>
              <w:rPr>
                <w:rFonts w:ascii="Times New Roman" w:hAnsi="Times New Roman"/>
                <w:sz w:val="24"/>
              </w:rPr>
              <w:t xml:space="preserve"> в просветительских мероприятиях, соответствующих возрастным особенностям целевой аудитории.</w:t>
            </w:r>
          </w:p>
        </w:tc>
      </w:tr>
      <w:tr>
        <w:trPr>
          <w:trHeight w:hRule="exact" w:val="7060"/>
        </w:trPr>
        <w:tc>
          <w:tcPr>
            <w:tcW w:type="dxa" w:w="4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7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Ресурсы, привлеченные для ее реализации</w:t>
            </w:r>
          </w:p>
          <w:p w14:paraId="18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1A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10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реализации практики в </w:t>
            </w:r>
            <w:r>
              <w:rPr>
                <w:rFonts w:ascii="Times New Roman" w:hAnsi="Times New Roman"/>
                <w:sz w:val="24"/>
              </w:rPr>
              <w:t>Усть-Лабинской</w:t>
            </w:r>
            <w:r>
              <w:rPr>
                <w:rFonts w:ascii="Times New Roman" w:hAnsi="Times New Roman"/>
                <w:sz w:val="24"/>
              </w:rPr>
              <w:t xml:space="preserve"> городской библиотеке-филиале №1 были привлечены следующие ресурсы:</w:t>
            </w: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Материальные ресурсы:</w:t>
            </w:r>
          </w:p>
          <w:p w14:paraId="1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Два помещения библиотеки общей площадью 153,6 м² (молодежная кафедра, </w:t>
            </w:r>
            <w:r>
              <w:rPr>
                <w:rFonts w:ascii="Times New Roman" w:hAnsi="Times New Roman"/>
                <w:sz w:val="24"/>
              </w:rPr>
              <w:t>коворкинг</w:t>
            </w:r>
            <w:r>
              <w:rPr>
                <w:rFonts w:ascii="Times New Roman" w:hAnsi="Times New Roman"/>
                <w:sz w:val="24"/>
              </w:rPr>
              <w:t xml:space="preserve"> и информационно-правовой сектор).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 xml:space="preserve">- Материально-техническое оборудование: 4 ноутбука, телевизоры, столы, стулья, кресла-мешки, фотокамеры, система электронной стабилизации, рекордер, микрофон, пантограф, наушники, звуковая карта, </w:t>
            </w:r>
            <w:r>
              <w:rPr>
                <w:rFonts w:ascii="Times New Roman" w:hAnsi="Times New Roman"/>
                <w:sz w:val="24"/>
              </w:rPr>
              <w:t>хромакей</w:t>
            </w:r>
            <w:r>
              <w:rPr>
                <w:rFonts w:ascii="Times New Roman" w:hAnsi="Times New Roman"/>
                <w:sz w:val="24"/>
              </w:rPr>
              <w:t xml:space="preserve">, аналоговый </w:t>
            </w:r>
            <w:r>
              <w:rPr>
                <w:rFonts w:ascii="Times New Roman" w:hAnsi="Times New Roman"/>
                <w:sz w:val="24"/>
              </w:rPr>
              <w:t>микшерный</w:t>
            </w:r>
            <w:r>
              <w:rPr>
                <w:rFonts w:ascii="Times New Roman" w:hAnsi="Times New Roman"/>
                <w:sz w:val="24"/>
              </w:rPr>
              <w:t xml:space="preserve"> пульт, радиосистема микрофонная, активная акустическая система.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Финансовые ресурсы:</w:t>
            </w:r>
          </w:p>
          <w:p w14:paraId="2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Бюджетные средства на оплату труда сотрудников.</w:t>
            </w:r>
          </w:p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Средства на ремонт </w:t>
            </w:r>
            <w:r>
              <w:rPr>
                <w:rFonts w:ascii="Times New Roman" w:hAnsi="Times New Roman"/>
                <w:sz w:val="24"/>
              </w:rPr>
              <w:t>коворкинга</w:t>
            </w:r>
            <w:r>
              <w:rPr>
                <w:rFonts w:ascii="Times New Roman" w:hAnsi="Times New Roman"/>
                <w:sz w:val="24"/>
              </w:rPr>
              <w:t xml:space="preserve"> и информационного центра — 1 100 000 рублей.</w:t>
            </w:r>
          </w:p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Собственные средства на оплату ЖКУ.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Средства грантов ПФКИ на оборудование, мебель и книги — 1 012 294 рубля.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Спонсорские средства от фонда «Вольное Дело – Юг» на оборудование, мебель и книги — 1 200 000 рублей.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низации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>
              <w:rPr>
                <w:rFonts w:ascii="Times New Roman" w:hAnsi="Times New Roman"/>
                <w:sz w:val="24"/>
              </w:rPr>
              <w:t>проведении</w:t>
            </w:r>
            <w:r>
              <w:rPr>
                <w:rFonts w:ascii="Times New Roman" w:hAnsi="Times New Roman"/>
                <w:sz w:val="24"/>
              </w:rPr>
              <w:t xml:space="preserve"> мероприятий.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Информационные ресурсы: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Сайт администрации муниципального образования Усть-Лабинский район.</w:t>
            </w:r>
          </w:p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Социальные сети главы муниципального образования и его заместителя по социальным вопросам.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Газета </w:t>
            </w:r>
            <w:r>
              <w:rPr>
                <w:rFonts w:ascii="Times New Roman" w:hAnsi="Times New Roman"/>
                <w:sz w:val="24"/>
              </w:rPr>
              <w:t>Усть-Лабинского</w:t>
            </w:r>
            <w:r>
              <w:rPr>
                <w:rFonts w:ascii="Times New Roman" w:hAnsi="Times New Roman"/>
                <w:sz w:val="24"/>
              </w:rPr>
              <w:t xml:space="preserve"> района «Сельская Новь» и её сайт и страницы в социальных сетях.</w:t>
            </w:r>
          </w:p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- Сайт и социальные сети сетевого издания «Усть-Лабинск </w:t>
            </w:r>
            <w:r>
              <w:rPr>
                <w:rFonts w:ascii="Times New Roman" w:hAnsi="Times New Roman"/>
                <w:sz w:val="24"/>
              </w:rPr>
              <w:t>Инфо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Эти ресурсы позволили библиотеке эффективно организовать и провести культурно-просветительские мероприятия, направленные на привлечение молодёжи.</w:t>
            </w:r>
          </w:p>
        </w:tc>
      </w:tr>
      <w:tr>
        <w:trPr>
          <w:trHeight w:hRule="exact" w:val="5279"/>
        </w:trPr>
        <w:tc>
          <w:tcPr>
            <w:tcW w:type="dxa" w:w="4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2C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 результата</w:t>
            </w:r>
          </w:p>
          <w:p w14:paraId="2D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2E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10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Результатом практики в </w:t>
            </w:r>
            <w:r>
              <w:rPr>
                <w:rFonts w:ascii="Times New Roman" w:hAnsi="Times New Roman"/>
                <w:sz w:val="24"/>
              </w:rPr>
              <w:t>Усть-Лабинской</w:t>
            </w:r>
            <w:r>
              <w:rPr>
                <w:rFonts w:ascii="Times New Roman" w:hAnsi="Times New Roman"/>
                <w:sz w:val="24"/>
              </w:rPr>
              <w:t xml:space="preserve"> городской библиотеке-филиале №1 стало создание привлекательного и интересного культурного пространства, которое активно вовлекает подростков и молодежь в процессы культурного просвещения. Благодаря внедрению актуальных форматов мероприятий, библиотека стала центром притяжения для молодёжи, что способствовало:</w:t>
            </w:r>
          </w:p>
          <w:p w14:paraId="3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Повышению интереса к чтению и культуре: Мероприятия, сочетающие интеллектуальную и познавательную активность с </w:t>
            </w:r>
            <w:r>
              <w:rPr>
                <w:rFonts w:ascii="Times New Roman" w:hAnsi="Times New Roman"/>
                <w:sz w:val="24"/>
              </w:rPr>
              <w:t>мультимедийными</w:t>
            </w:r>
            <w:r>
              <w:rPr>
                <w:rFonts w:ascii="Times New Roman" w:hAnsi="Times New Roman"/>
                <w:sz w:val="24"/>
              </w:rPr>
              <w:t xml:space="preserve"> технологиями, привлекли внимание молодёжи к литературе и культурным ценностям.</w:t>
            </w:r>
          </w:p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Формированию гражданско-патриотической позиции: Просветительские мероприятия, соответствующие возрастным особенностям целевой аудитории, способствовали воспитанию патриотизма и расширению кругозора.</w:t>
            </w:r>
          </w:p>
          <w:p w14:paraId="3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Увеличению посещаемости библиотеки: Обновлённое пространство и разнообразие мероприятий привлекли больше подростков и молодёжи, сделав библиотеку активным участником культурной жизни района.</w:t>
            </w:r>
          </w:p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Развитие критического мышления и </w:t>
            </w:r>
            <w:r>
              <w:rPr>
                <w:rFonts w:ascii="Times New Roman" w:hAnsi="Times New Roman"/>
                <w:sz w:val="24"/>
              </w:rPr>
              <w:t>креативности</w:t>
            </w:r>
            <w:r>
              <w:rPr>
                <w:rFonts w:ascii="Times New Roman" w:hAnsi="Times New Roman"/>
                <w:sz w:val="24"/>
              </w:rPr>
              <w:t xml:space="preserve">: Интерактивные форматы мероприятий способствовали развитию у молодёжи навыков критического мышления и </w:t>
            </w:r>
            <w:r>
              <w:rPr>
                <w:rFonts w:ascii="Times New Roman" w:hAnsi="Times New Roman"/>
                <w:sz w:val="24"/>
              </w:rPr>
              <w:t>креативного</w:t>
            </w:r>
            <w:r>
              <w:rPr>
                <w:rFonts w:ascii="Times New Roman" w:hAnsi="Times New Roman"/>
                <w:sz w:val="24"/>
              </w:rPr>
              <w:t xml:space="preserve"> подхода к решению задач.</w:t>
            </w:r>
          </w:p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Таким образом, практика показала свою эффективность в достижении поставленных целей и оказала положительное влияние на культурное развитие молодёжи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Усть-Лабинском</w:t>
            </w:r>
            <w:r>
              <w:rPr>
                <w:rFonts w:ascii="Times New Roman" w:hAnsi="Times New Roman"/>
                <w:sz w:val="24"/>
              </w:rPr>
              <w:t xml:space="preserve"> районе.</w:t>
            </w:r>
          </w:p>
        </w:tc>
      </w:tr>
      <w:tr>
        <w:trPr>
          <w:trHeight w:hRule="exact" w:val="6033"/>
        </w:trPr>
        <w:tc>
          <w:tcPr>
            <w:tcW w:type="dxa" w:w="4368"/>
            <w:tcBorders>
              <w:top w:color="000000" w:sz="6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35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количественного (качественного) показателя результата</w:t>
            </w:r>
          </w:p>
        </w:tc>
        <w:tc>
          <w:tcPr>
            <w:tcW w:type="dxa" w:w="1020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Количественные показатели результата практики в </w:t>
            </w:r>
            <w:r>
              <w:rPr>
                <w:rFonts w:ascii="Times New Roman" w:hAnsi="Times New Roman"/>
                <w:sz w:val="24"/>
              </w:rPr>
              <w:t>Усть-Лабинской</w:t>
            </w:r>
            <w:r>
              <w:rPr>
                <w:rFonts w:ascii="Times New Roman" w:hAnsi="Times New Roman"/>
                <w:sz w:val="24"/>
              </w:rPr>
              <w:t xml:space="preserve"> городской библиотеке-филиале №1 включают:</w:t>
            </w:r>
          </w:p>
          <w:p w14:paraId="3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Увеличение посещаемости: Количество посетителей библиотеки, особенно среди подростков и молодёжи, значительно возросло благодаря новым форматам мероприятий и обновлённому пространству.</w:t>
            </w:r>
          </w:p>
          <w:p w14:paraId="3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Рост числа участников мероприятий: Мероприятия, организованные библиотекой, привлекли большее количество участников, что свидетельствует о повышении интереса к культурным и образовательным инициативам.</w:t>
            </w:r>
          </w:p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. Увеличение количества проводимых мероприятий: Внедрение новых форматов и использование </w:t>
            </w:r>
            <w:r>
              <w:rPr>
                <w:rStyle w:val="Style_4_ch"/>
                <w:rFonts w:ascii="Times New Roman" w:hAnsi="Times New Roman"/>
                <w:sz w:val="24"/>
              </w:rPr>
              <w:t>мультимедийных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технологий позволили библиотеке увеличить количество и разнообразие проводимых мероприятий.</w:t>
            </w:r>
          </w:p>
          <w:p w14:paraId="3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Качественные показатели включают:</w:t>
            </w:r>
          </w:p>
          <w:p w14:paraId="3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1. Повышение уровня вовлечённости: Молодёжь стала более активно участвовать в мероприятиях библиотеки, что говорит о повышении интереса к культурному просвещению.</w:t>
            </w:r>
          </w:p>
          <w:p w14:paraId="3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 xml:space="preserve">2. Развитие навыков и компетенций: Мероприятия способствовали развитию у молодёжи критического мышления, </w:t>
            </w:r>
            <w:r>
              <w:rPr>
                <w:rStyle w:val="Style_4_ch"/>
                <w:rFonts w:ascii="Times New Roman" w:hAnsi="Times New Roman"/>
                <w:sz w:val="24"/>
              </w:rPr>
              <w:t>креативности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и гражданской ответственности.</w:t>
            </w:r>
          </w:p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3. Формирование позитивного имиджа библиотеки: Библиотека стала восприниматься как современное и актуальное культурное пространство, что положительно сказалось на её репутации в сообществе.</w:t>
            </w:r>
          </w:p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 xml:space="preserve">Эти показатели демонстрируют успешность практики и её положительное влияние на культурное развитие молодёжи </w:t>
            </w:r>
            <w:r>
              <w:rPr>
                <w:rStyle w:val="Style_4_ch"/>
                <w:rFonts w:ascii="Times New Roman" w:hAnsi="Times New Roman"/>
                <w:sz w:val="24"/>
              </w:rPr>
              <w:t>в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4_ch"/>
                <w:rFonts w:ascii="Times New Roman" w:hAnsi="Times New Roman"/>
                <w:sz w:val="24"/>
              </w:rPr>
              <w:t>Усть-Лабинском</w:t>
            </w:r>
            <w:r>
              <w:rPr>
                <w:rStyle w:val="Style_4_ch"/>
                <w:rFonts w:ascii="Times New Roman" w:hAnsi="Times New Roman"/>
                <w:sz w:val="24"/>
              </w:rPr>
              <w:t xml:space="preserve"> районе.</w:t>
            </w:r>
          </w:p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40000000">
      <w:pPr>
        <w:spacing w:after="0"/>
        <w:ind/>
        <w:rPr>
          <w:rFonts w:ascii="Times New Roman" w:hAnsi="Times New Roman"/>
          <w:sz w:val="24"/>
        </w:rPr>
      </w:pPr>
    </w:p>
    <w:p w14:paraId="4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лучших муниципальных практиках содействия развитию конкуренции,</w:t>
      </w:r>
    </w:p>
    <w:p w14:paraId="4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внедренных</w:t>
      </w:r>
      <w:r>
        <w:rPr>
          <w:rFonts w:ascii="Times New Roman" w:hAnsi="Times New Roman"/>
          <w:sz w:val="28"/>
        </w:rPr>
        <w:t xml:space="preserve"> в муниципальном образовании Усть-Лабинский муниципальный район Краснодарского края в 2025 году </w:t>
      </w:r>
    </w:p>
    <w:p w14:paraId="43000000">
      <w:pPr>
        <w:pStyle w:val="Style_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2"/>
        <w:tblW w:type="auto" w:w="0"/>
        <w:jc w:val="center"/>
        <w:tblLayout w:type="fixed"/>
        <w:tblCellMar>
          <w:left w:type="dxa" w:w="10"/>
          <w:right w:type="dxa" w:w="10"/>
        </w:tblCellMar>
      </w:tblPr>
      <w:tblGrid>
        <w:gridCol w:w="4368"/>
        <w:gridCol w:w="9509"/>
      </w:tblGrid>
      <w:tr>
        <w:trPr>
          <w:trHeight w:hRule="exact" w:val="1160"/>
        </w:trPr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4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type="dxa" w:w="95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5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«Оптимизация процесса приема сотрудника на работу»</w:t>
            </w:r>
          </w:p>
          <w:p w14:paraId="46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7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8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9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A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B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  <w:p w14:paraId="4C000000">
            <w:pPr>
              <w:ind w:firstLine="0" w:left="95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exact" w:val="1267"/>
        </w:trPr>
        <w:tc>
          <w:tcPr>
            <w:tcW w:type="dxa" w:w="4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D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Контактная информация исполнителей </w:t>
            </w:r>
          </w:p>
        </w:tc>
        <w:tc>
          <w:tcPr>
            <w:tcW w:type="dxa" w:w="9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E000000">
            <w:pPr>
              <w:spacing w:line="240" w:lineRule="auto"/>
              <w:ind w:firstLine="0" w:left="9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Штефанец</w:t>
            </w:r>
            <w:r>
              <w:rPr>
                <w:rFonts w:ascii="Times New Roman" w:hAnsi="Times New Roman"/>
                <w:sz w:val="24"/>
              </w:rPr>
              <w:t xml:space="preserve"> О.А., руководитель проекта специалист по кадрам муниципального бюджетного общеобразовательного учреждения начальная общеобразовательная школа «Образовательный холдинг «Детство без границ» имени Н.В.Зиновьева муниципального образования Усть-Лабинский район, тел.8861354-10-84, е- </w:t>
            </w:r>
            <w:r>
              <w:rPr>
                <w:rFonts w:ascii="Times New Roman" w:hAnsi="Times New Roman"/>
                <w:sz w:val="24"/>
              </w:rPr>
              <w:t>mail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detstvo-bez-granic.ru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F000000">
            <w:pPr>
              <w:spacing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rPr>
          <w:trHeight w:hRule="exact" w:val="1788"/>
        </w:trPr>
        <w:tc>
          <w:tcPr>
            <w:tcW w:type="dxa" w:w="4368"/>
            <w:tcBorders>
              <w:top w:color="000000" w:sz="6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0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успешной практики</w:t>
            </w:r>
          </w:p>
          <w:p w14:paraId="51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2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3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509"/>
            <w:tcBorders>
              <w:top w:color="000000" w:sz="6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4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Школа «Детство без границ» успешно внедрила практику упрощённого трудоустройства. За счёт публикации на своём сайте полных списков документов, инструкций по медицинскому осмотру и примеров заполнения бумаг, процедура найма сотрудников значительно ускорилась и облегчилась. Время приёма сократилось вдвое, число потерянных документов стало минимальным, а кандидаты стали гораздо чаще довольны качеством обслуживания.</w:t>
            </w:r>
          </w:p>
        </w:tc>
      </w:tr>
      <w:tr>
        <w:trPr>
          <w:trHeight w:hRule="exact" w:val="860"/>
        </w:trPr>
        <w:tc>
          <w:tcPr>
            <w:tcW w:type="dxa" w:w="4368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5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Ресурсы, привлеченные для ее реализации</w:t>
            </w:r>
          </w:p>
          <w:p w14:paraId="56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7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8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509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9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4_ch"/>
                <w:rFonts w:ascii="Times New Roman" w:hAnsi="Times New Roman"/>
                <w:sz w:val="24"/>
              </w:rPr>
              <w:t>Необходимость наличия компьютерной техники и интернета для разработки и размещения материалов на сайте.</w:t>
            </w:r>
          </w:p>
        </w:tc>
      </w:tr>
      <w:tr>
        <w:trPr>
          <w:trHeight w:hRule="exact" w:val="1514"/>
        </w:trPr>
        <w:tc>
          <w:tcPr>
            <w:tcW w:type="dxa" w:w="4368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 результата</w:t>
            </w:r>
          </w:p>
          <w:p w14:paraId="5B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C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5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D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Процедура приёма сотрудников стала быстрее и </w:t>
            </w:r>
            <w:r>
              <w:rPr>
                <w:rFonts w:ascii="Times New Roman" w:hAnsi="Times New Roman"/>
                <w:sz w:val="24"/>
              </w:rPr>
              <w:t>удобнее</w:t>
            </w:r>
            <w:r>
              <w:rPr>
                <w:rFonts w:ascii="Times New Roman" w:hAnsi="Times New Roman"/>
                <w:sz w:val="24"/>
              </w:rPr>
              <w:t>.Т</w:t>
            </w:r>
            <w:r>
              <w:rPr>
                <w:rFonts w:ascii="Times New Roman" w:hAnsi="Times New Roman"/>
                <w:sz w:val="24"/>
              </w:rPr>
              <w:t>еперь</w:t>
            </w:r>
            <w:r>
              <w:rPr>
                <w:rFonts w:ascii="Times New Roman" w:hAnsi="Times New Roman"/>
                <w:sz w:val="24"/>
              </w:rPr>
              <w:t xml:space="preserve"> оформление занимает меньше времени благодаря доступной информации на сайте школы: там размещены списки нужных документов, форма заявления и даже образец его заполнения. Это позволило сократить ожидание собеседования и изучение документации, сделав приём сотрудников менее хлопотным процессом.</w:t>
            </w:r>
          </w:p>
        </w:tc>
      </w:tr>
      <w:tr>
        <w:trPr>
          <w:trHeight w:hRule="exact" w:val="2048"/>
        </w:trPr>
        <w:tc>
          <w:tcPr>
            <w:tcW w:type="dxa" w:w="436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E000000">
            <w:pPr>
              <w:spacing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количественного (качественного) показателя результата</w:t>
            </w:r>
          </w:p>
        </w:tc>
        <w:tc>
          <w:tcPr>
            <w:tcW w:type="dxa" w:w="9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F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Количественный показатель: </w:t>
            </w:r>
            <w:r>
              <w:rPr>
                <w:rFonts w:ascii="Times New Roman" w:hAnsi="Times New Roman"/>
                <w:sz w:val="24"/>
              </w:rPr>
              <w:t>-В</w:t>
            </w:r>
            <w:r>
              <w:rPr>
                <w:rFonts w:ascii="Times New Roman" w:hAnsi="Times New Roman"/>
                <w:sz w:val="24"/>
              </w:rPr>
              <w:t xml:space="preserve">ремя </w:t>
            </w:r>
            <w:r>
              <w:rPr>
                <w:rFonts w:ascii="Times New Roman" w:hAnsi="Times New Roman"/>
                <w:sz w:val="24"/>
              </w:rPr>
              <w:t>обработки:сократилось</w:t>
            </w:r>
            <w:r>
              <w:rPr>
                <w:rFonts w:ascii="Times New Roman" w:hAnsi="Times New Roman"/>
                <w:sz w:val="24"/>
              </w:rPr>
              <w:t xml:space="preserve"> с 116–190 минут до 42–63 минут, то есть на 63–67%. -Количество ошибок при оформлении </w:t>
            </w:r>
            <w:r>
              <w:rPr>
                <w:rFonts w:ascii="Times New Roman" w:hAnsi="Times New Roman"/>
                <w:sz w:val="24"/>
              </w:rPr>
              <w:t>документов:уменьшилось</w:t>
            </w:r>
            <w:r>
              <w:rPr>
                <w:rFonts w:ascii="Times New Roman" w:hAnsi="Times New Roman"/>
                <w:sz w:val="24"/>
              </w:rPr>
              <w:t xml:space="preserve"> почти до нуля (не больше одной недостающей бумаги). -Удовлетворённость </w:t>
            </w:r>
            <w:r>
              <w:rPr>
                <w:rFonts w:ascii="Times New Roman" w:hAnsi="Times New Roman"/>
                <w:sz w:val="24"/>
              </w:rPr>
              <w:t>кандидатов:выросла</w:t>
            </w:r>
            <w:r>
              <w:rPr>
                <w:rFonts w:ascii="Times New Roman" w:hAnsi="Times New Roman"/>
                <w:sz w:val="24"/>
              </w:rPr>
              <w:t xml:space="preserve"> с 86% до 98%, то есть повысилась на 12%. </w:t>
            </w:r>
          </w:p>
          <w:p w14:paraId="60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Качественный показатель: - Улучшилась организация процесса трудоустройства, повысился комфорт будущих сотрудников, снизились стресс и неопределённость при приёме на работу.</w:t>
            </w:r>
          </w:p>
        </w:tc>
      </w:tr>
    </w:tbl>
    <w:p w14:paraId="61000000">
      <w:pPr>
        <w:spacing w:after="0" w:line="240" w:lineRule="auto"/>
        <w:ind w:firstLine="0" w:left="357"/>
        <w:rPr>
          <w:rFonts w:ascii="Times New Roman" w:hAnsi="Times New Roman"/>
          <w:sz w:val="24"/>
        </w:rPr>
      </w:pPr>
    </w:p>
    <w:p w14:paraId="6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лучших муниципальных практиках содействия развитию конкуренции,</w:t>
      </w:r>
    </w:p>
    <w:p w14:paraId="6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внедренных</w:t>
      </w:r>
      <w:r>
        <w:rPr>
          <w:rFonts w:ascii="Times New Roman" w:hAnsi="Times New Roman"/>
          <w:sz w:val="28"/>
        </w:rPr>
        <w:t xml:space="preserve"> в муниципальном образовании Усть-Лабинский муниципальный район Краснодарского края в 2025 году </w:t>
      </w:r>
    </w:p>
    <w:p w14:paraId="64000000">
      <w:pPr>
        <w:spacing w:after="0" w:line="240" w:lineRule="auto"/>
        <w:ind w:firstLine="0" w:left="357"/>
        <w:rPr>
          <w:rFonts w:ascii="Times New Roman" w:hAnsi="Times New Roman"/>
          <w:sz w:val="24"/>
        </w:rPr>
      </w:pPr>
    </w:p>
    <w:p w14:paraId="65000000">
      <w:pPr>
        <w:spacing w:after="0" w:line="240" w:lineRule="auto"/>
        <w:ind w:firstLine="0" w:left="357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tblInd w:type="dxa" w:w="392"/>
        <w:tblLayout w:type="fixed"/>
      </w:tblPr>
      <w:tblGrid>
        <w:gridCol w:w="4394"/>
        <w:gridCol w:w="9639"/>
      </w:tblGrid>
      <w:tr>
        <w:trPr>
          <w:trHeight w:hRule="atLeast" w:val="1078"/>
        </w:trPr>
        <w:tc>
          <w:tcPr>
            <w:tcW w:type="dxa" w:w="4394"/>
          </w:tcPr>
          <w:p w14:paraId="66000000">
            <w:pPr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лучшей практики по содействию развитию конкуренции </w:t>
            </w:r>
          </w:p>
        </w:tc>
        <w:tc>
          <w:tcPr>
            <w:tcW w:type="dxa" w:w="9639"/>
          </w:tcPr>
          <w:p w14:paraId="67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Освобождение от уплаты земельного налога в отношении земельных участков, предназначенных для размещения индустриальных (промышленных) парков </w:t>
            </w:r>
          </w:p>
        </w:tc>
      </w:tr>
      <w:tr>
        <w:tc>
          <w:tcPr>
            <w:tcW w:type="dxa" w:w="4394"/>
          </w:tcPr>
          <w:p w14:paraId="6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Контактная информация исполнителей </w:t>
            </w:r>
          </w:p>
        </w:tc>
        <w:tc>
          <w:tcPr>
            <w:tcW w:type="dxa" w:w="9639"/>
          </w:tcPr>
          <w:p w14:paraId="69000000">
            <w:pPr>
              <w:pStyle w:val="Style_6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Сморжко</w:t>
            </w:r>
            <w:r>
              <w:rPr>
                <w:rFonts w:ascii="Times New Roman" w:hAnsi="Times New Roman"/>
                <w:sz w:val="24"/>
              </w:rPr>
              <w:t xml:space="preserve"> Галина Станиславовна, главный специалист управления экономики администрации муниципального образования Усть-Лабинский район, тел. 8 86135 5-28-68,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mail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ekonom@amoulr.ru</w:t>
            </w:r>
          </w:p>
        </w:tc>
      </w:tr>
      <w:tr>
        <w:tc>
          <w:tcPr>
            <w:tcW w:type="dxa" w:w="4394"/>
          </w:tcPr>
          <w:p w14:paraId="6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успешной практики</w:t>
            </w:r>
          </w:p>
          <w:p w14:paraId="6B000000">
            <w:pPr>
              <w:rPr>
                <w:rFonts w:ascii="Times New Roman" w:hAnsi="Times New Roman"/>
                <w:sz w:val="28"/>
              </w:rPr>
            </w:pPr>
          </w:p>
          <w:p w14:paraId="6C000000">
            <w:pPr>
              <w:rPr>
                <w:rFonts w:ascii="Times New Roman" w:hAnsi="Times New Roman"/>
                <w:sz w:val="28"/>
              </w:rPr>
            </w:pPr>
          </w:p>
          <w:p w14:paraId="6D000000">
            <w:pPr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639"/>
          </w:tcPr>
          <w:p w14:paraId="6E000000">
            <w:pPr>
              <w:pStyle w:val="Style_7"/>
              <w:ind/>
              <w:jc w:val="both"/>
            </w:pPr>
            <w:r>
              <w:t>На территории муниципального образования Усть-Лабинский район реализуется инвестиционный проект: «Индустриальный (промышленный) парк «Кубань»</w:t>
            </w:r>
            <w:r>
              <w:t xml:space="preserve"> </w:t>
            </w:r>
            <w:r>
              <w:t>.</w:t>
            </w:r>
          </w:p>
          <w:p w14:paraId="6F000000">
            <w:pPr>
              <w:pStyle w:val="Style_7"/>
              <w:ind/>
              <w:jc w:val="both"/>
            </w:pPr>
            <w:r>
              <w:t>Протокол о намерениях по взаимодействию в сфере инвестиций был подписан в рамках международного э</w:t>
            </w:r>
            <w:r>
              <w:t xml:space="preserve">кономического форума в </w:t>
            </w:r>
            <w:r>
              <w:t>г</w:t>
            </w:r>
            <w:r>
              <w:t xml:space="preserve">. Сочи </w:t>
            </w:r>
            <w:r>
              <w:t>2 октября 2015 года.</w:t>
            </w:r>
            <w:r>
              <w:t xml:space="preserve"> </w:t>
            </w:r>
          </w:p>
          <w:p w14:paraId="70000000">
            <w:pPr>
              <w:pStyle w:val="Style_7"/>
              <w:ind/>
              <w:jc w:val="both"/>
            </w:pPr>
            <w:r>
              <w:t>Суть проекта: формирование современной производственной площадки, обеспеченной инфраструктурой, необходимой для размещения производственных и иных объектов инвесторов, а также создания новых рабочих мест и увеличения доходов краевого бюджета.</w:t>
            </w:r>
            <w:r>
              <w:t xml:space="preserve"> ООО «УК Индустриальный парк «Кубань» включен в реестр индустриальных (промышленных) парков и управляющих компаний индустриальных (промышленных) парков </w:t>
            </w:r>
            <w:r>
              <w:t>Минпромторга</w:t>
            </w:r>
            <w:r>
              <w:t xml:space="preserve"> России (приказ № 4591 от 01.11.2022 г., министерства промышленности и торговли Российской Федерации).</w:t>
            </w:r>
          </w:p>
        </w:tc>
      </w:tr>
      <w:tr>
        <w:tc>
          <w:tcPr>
            <w:tcW w:type="dxa" w:w="4394"/>
          </w:tcPr>
          <w:p w14:paraId="7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Ресурсы, привлеченные для ее реализации</w:t>
            </w:r>
          </w:p>
          <w:p w14:paraId="72000000">
            <w:pPr>
              <w:rPr>
                <w:rFonts w:ascii="Times New Roman" w:hAnsi="Times New Roman"/>
                <w:sz w:val="28"/>
              </w:rPr>
            </w:pPr>
          </w:p>
          <w:p w14:paraId="73000000">
            <w:pPr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639"/>
          </w:tcPr>
          <w:p w14:paraId="74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«УК Индустриальный парк «Кубань» получена субсидия на возмещение фактически произведенных затрат по созданию объектов транспортной, инженерной, </w:t>
            </w:r>
            <w:r>
              <w:rPr>
                <w:rFonts w:ascii="Times New Roman" w:hAnsi="Times New Roman"/>
                <w:sz w:val="24"/>
              </w:rPr>
              <w:t>эноргетической</w:t>
            </w:r>
            <w:r>
              <w:rPr>
                <w:rFonts w:ascii="Times New Roman" w:hAnsi="Times New Roman"/>
                <w:sz w:val="24"/>
              </w:rPr>
              <w:t xml:space="preserve"> и коммунальной инфраструктуры, необходимых для реализации новых инвестиционных </w:t>
            </w:r>
            <w:r>
              <w:rPr>
                <w:rFonts w:ascii="Times New Roman" w:hAnsi="Times New Roman"/>
                <w:sz w:val="24"/>
              </w:rPr>
              <w:t>проектовна</w:t>
            </w:r>
            <w:r>
              <w:rPr>
                <w:rFonts w:ascii="Times New Roman" w:hAnsi="Times New Roman"/>
                <w:sz w:val="24"/>
              </w:rPr>
              <w:t xml:space="preserve"> территории Краснодарского края Постановление Правительства РФ от 19 октября 2020 г. № 1704 на объемы инфраструктуры для размещения резидентов индустриального промышленного парка, а также ООО «УК Индустриальный парк «Кубань» в рамках инвестиционного проекта освобожден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от уплаты налога на землю (Решение Совета </w:t>
            </w:r>
            <w:r>
              <w:rPr>
                <w:rFonts w:ascii="Times New Roman" w:hAnsi="Times New Roman"/>
                <w:sz w:val="24"/>
              </w:rPr>
              <w:t>Усть-Лабинского</w:t>
            </w:r>
            <w:r>
              <w:rPr>
                <w:rFonts w:ascii="Times New Roman" w:hAnsi="Times New Roman"/>
                <w:sz w:val="24"/>
              </w:rPr>
              <w:t xml:space="preserve"> городского поселения </w:t>
            </w:r>
            <w:r>
              <w:rPr>
                <w:rFonts w:ascii="Times New Roman" w:hAnsi="Times New Roman"/>
                <w:sz w:val="24"/>
              </w:rPr>
              <w:t>Усть-Лабинского</w:t>
            </w:r>
            <w:r>
              <w:rPr>
                <w:rFonts w:ascii="Times New Roman" w:hAnsi="Times New Roman"/>
                <w:sz w:val="24"/>
              </w:rPr>
              <w:t xml:space="preserve">  района «Об установлении земельного налога на территории </w:t>
            </w:r>
            <w:r>
              <w:rPr>
                <w:rFonts w:ascii="Times New Roman" w:hAnsi="Times New Roman"/>
                <w:sz w:val="24"/>
              </w:rPr>
              <w:t>Усть-Лабинского</w:t>
            </w:r>
            <w:r>
              <w:rPr>
                <w:rFonts w:ascii="Times New Roman" w:hAnsi="Times New Roman"/>
                <w:sz w:val="24"/>
              </w:rPr>
              <w:t xml:space="preserve"> городского поселения </w:t>
            </w:r>
            <w:r>
              <w:rPr>
                <w:rFonts w:ascii="Times New Roman" w:hAnsi="Times New Roman"/>
                <w:sz w:val="24"/>
              </w:rPr>
              <w:t>Усть-Лабинского</w:t>
            </w:r>
            <w:r>
              <w:rPr>
                <w:rFonts w:ascii="Times New Roman" w:hAnsi="Times New Roman"/>
                <w:sz w:val="24"/>
              </w:rPr>
              <w:t xml:space="preserve"> района» (в редакции Решения от 01.03.2022 № 2/37, от 26.09.2022 № 2) Закон Краснодарского края от 26.11.2003 года № 620-КЗ.</w:t>
            </w:r>
          </w:p>
        </w:tc>
      </w:tr>
      <w:tr>
        <w:tc>
          <w:tcPr>
            <w:tcW w:type="dxa" w:w="4394"/>
          </w:tcPr>
          <w:p w14:paraId="7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 результата</w:t>
            </w:r>
          </w:p>
          <w:p w14:paraId="76000000">
            <w:pPr>
              <w:rPr>
                <w:rFonts w:ascii="Times New Roman" w:hAnsi="Times New Roman"/>
                <w:sz w:val="28"/>
              </w:rPr>
            </w:pPr>
          </w:p>
          <w:p w14:paraId="77000000">
            <w:pPr>
              <w:rPr>
                <w:rFonts w:ascii="Times New Roman" w:hAnsi="Times New Roman"/>
                <w:i w:val="1"/>
                <w:sz w:val="28"/>
              </w:rPr>
            </w:pPr>
          </w:p>
        </w:tc>
        <w:tc>
          <w:tcPr>
            <w:tcW w:type="dxa" w:w="9639"/>
          </w:tcPr>
          <w:p w14:paraId="78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роизводственная площадка индустриального парка </w:t>
            </w:r>
            <w:r>
              <w:rPr>
                <w:rFonts w:ascii="Times New Roman" w:hAnsi="Times New Roman"/>
                <w:sz w:val="24"/>
              </w:rPr>
              <w:t xml:space="preserve">составляет </w:t>
            </w:r>
            <w:r>
              <w:rPr>
                <w:rFonts w:ascii="Times New Roman" w:hAnsi="Times New Roman"/>
                <w:sz w:val="24"/>
              </w:rPr>
              <w:t xml:space="preserve">65 гектар. </w:t>
            </w:r>
          </w:p>
          <w:p w14:paraId="79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4 квартале  2025 года завершены строительно-монтажные работы по Канализационному коллектору (1 этап). Ведутся строительно-монтажные работы, готовность объекта 98%. Завершено строительство сети электроснабжения КЛ-10 кВ, 2 категория 5 МВт (РЖД)</w:t>
            </w:r>
            <w:r>
              <w:rPr>
                <w:rFonts w:ascii="Times New Roman" w:hAnsi="Times New Roman"/>
                <w:sz w:val="24"/>
              </w:rPr>
              <w:t xml:space="preserve"> .</w:t>
            </w:r>
            <w:r>
              <w:rPr>
                <w:rFonts w:ascii="Times New Roman" w:hAnsi="Times New Roman"/>
                <w:sz w:val="24"/>
              </w:rPr>
              <w:t xml:space="preserve"> Ввод планируется на 1 квартал 2026 года.</w:t>
            </w:r>
          </w:p>
          <w:p w14:paraId="7A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Проводится проектирование автомобильных дорог (разрабатывается проектно-сметная </w:t>
            </w:r>
            <w:r>
              <w:rPr>
                <w:rFonts w:ascii="Times New Roman" w:hAnsi="Times New Roman"/>
                <w:sz w:val="24"/>
              </w:rPr>
              <w:t xml:space="preserve">документация). Выполняется проектирование </w:t>
            </w:r>
            <w:r>
              <w:rPr>
                <w:rFonts w:ascii="Times New Roman" w:hAnsi="Times New Roman"/>
                <w:sz w:val="24"/>
              </w:rPr>
              <w:t>Энергоцентра</w:t>
            </w:r>
            <w:r>
              <w:rPr>
                <w:rFonts w:ascii="Times New Roman" w:hAnsi="Times New Roman"/>
                <w:sz w:val="24"/>
              </w:rPr>
              <w:t xml:space="preserve"> № 1 (</w:t>
            </w:r>
            <w:r>
              <w:rPr>
                <w:rFonts w:ascii="Times New Roman" w:hAnsi="Times New Roman"/>
                <w:sz w:val="24"/>
              </w:rPr>
              <w:t>газопоршневой</w:t>
            </w:r>
            <w:r>
              <w:rPr>
                <w:rFonts w:ascii="Times New Roman" w:hAnsi="Times New Roman"/>
                <w:sz w:val="24"/>
              </w:rPr>
              <w:t xml:space="preserve"> генерации): ведется разработка проектно-сметной документации.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Ведутся работы по проектированию  котельной.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B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2025 года по 2028 год ООО «УК Индустриальный парк «Кубань» планирует размещение 4 резидентов.</w:t>
            </w:r>
          </w:p>
        </w:tc>
      </w:tr>
      <w:tr>
        <w:tc>
          <w:tcPr>
            <w:tcW w:type="dxa" w:w="4394"/>
          </w:tcPr>
          <w:p w14:paraId="7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Значение количественного (качественного) показателя </w:t>
            </w:r>
          </w:p>
          <w:p w14:paraId="7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639"/>
          </w:tcPr>
          <w:p w14:paraId="7E000000">
            <w:pPr>
              <w:pStyle w:val="Style_7"/>
              <w:ind/>
              <w:jc w:val="both"/>
            </w:pPr>
            <w:r>
              <w:t>Общий объем инвестиций реализуемого инвестиционного проекта 1248,</w:t>
            </w:r>
            <w:r>
              <w:t>0 млн. рублей</w:t>
            </w:r>
          </w:p>
          <w:p w14:paraId="7F000000">
            <w:pPr>
              <w:pStyle w:val="Style_7"/>
              <w:ind/>
              <w:jc w:val="both"/>
            </w:pPr>
            <w:r>
              <w:t xml:space="preserve">Количество планируемых к созданию новых рабочих мест 2000 </w:t>
            </w:r>
          </w:p>
          <w:p w14:paraId="8000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Реализация данного инвестиционного проекта </w:t>
            </w:r>
            <w:r>
              <w:rPr>
                <w:rFonts w:ascii="Times New Roman" w:hAnsi="Times New Roman"/>
                <w:sz w:val="24"/>
                <w:highlight w:val="white"/>
              </w:rPr>
              <w:t>на территории муниципального образования Усть-Лабинск</w:t>
            </w:r>
            <w:r>
              <w:rPr>
                <w:rFonts w:ascii="Times New Roman" w:hAnsi="Times New Roman"/>
                <w:sz w:val="24"/>
                <w:highlight w:val="white"/>
              </w:rPr>
              <w:t>ий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муниципаль</w:t>
            </w:r>
            <w:r>
              <w:rPr>
                <w:rFonts w:ascii="Times New Roman" w:hAnsi="Times New Roman"/>
                <w:sz w:val="24"/>
                <w:highlight w:val="white"/>
              </w:rPr>
              <w:t>ный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район Краснодарского края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создаст благоприятные условия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для резидентов и инвесторов </w:t>
            </w:r>
            <w:r>
              <w:rPr>
                <w:rFonts w:ascii="Times New Roman" w:hAnsi="Times New Roman"/>
                <w:sz w:val="24"/>
                <w:highlight w:val="white"/>
              </w:rPr>
              <w:t>благодаря специальным налоговым преференциям и оптимальным условиям для предпринимательской деятельности</w:t>
            </w: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</w:tr>
    </w:tbl>
    <w:p w14:paraId="81000000">
      <w:pPr>
        <w:spacing w:after="0" w:line="240" w:lineRule="auto"/>
        <w:ind w:firstLine="0" w:left="357"/>
        <w:rPr>
          <w:rFonts w:ascii="Times New Roman" w:hAnsi="Times New Roman"/>
          <w:sz w:val="24"/>
        </w:rPr>
      </w:pPr>
    </w:p>
    <w:sectPr>
      <w:pgSz w:h="11906" w:orient="landscape" w:w="16838"/>
      <w:pgMar w:bottom="28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alloon Text"/>
    <w:basedOn w:val="Style_6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6_ch"/>
    <w:link w:val="Style_10"/>
    <w:rPr>
      <w:rFonts w:ascii="Segoe UI" w:hAnsi="Segoe UI"/>
      <w:sz w:val="18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11" w:type="paragraph">
    <w:name w:val="toc 6"/>
    <w:next w:val="Style_6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Абзац списка1"/>
    <w:basedOn w:val="Style_6"/>
    <w:link w:val="Style_14_ch"/>
    <w:pPr>
      <w:spacing w:after="160" w:line="264" w:lineRule="auto"/>
      <w:ind w:firstLine="0" w:left="720"/>
      <w:contextualSpacing w:val="1"/>
    </w:pPr>
    <w:rPr>
      <w:rFonts w:ascii="Calibri" w:hAnsi="Calibri"/>
      <w:color w:val="000000"/>
    </w:rPr>
  </w:style>
  <w:style w:styleId="Style_14_ch" w:type="character">
    <w:name w:val="Абзац списка1"/>
    <w:basedOn w:val="Style_6_ch"/>
    <w:link w:val="Style_14"/>
    <w:rPr>
      <w:rFonts w:ascii="Calibri" w:hAnsi="Calibri"/>
      <w:color w:val="00000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17" w:type="paragraph">
    <w:name w:val="toc 3"/>
    <w:next w:val="Style_6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eading 5"/>
    <w:next w:val="Style_6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heading 1"/>
    <w:next w:val="Style_6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6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List Paragraph"/>
    <w:basedOn w:val="Style_6"/>
    <w:link w:val="Style_25_ch"/>
    <w:pPr>
      <w:ind w:firstLine="0" w:left="720"/>
      <w:contextualSpacing w:val="1"/>
    </w:pPr>
  </w:style>
  <w:style w:styleId="Style_25_ch" w:type="character">
    <w:name w:val="List Paragraph"/>
    <w:basedOn w:val="Style_6_ch"/>
    <w:link w:val="Style_25"/>
  </w:style>
  <w:style w:styleId="Style_26" w:type="paragraph">
    <w:name w:val="toc 9"/>
    <w:next w:val="Style_6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7" w:type="paragraph">
    <w:name w:val="No Spacing"/>
    <w:link w:val="Style_7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7_ch" w:type="character">
    <w:name w:val="No Spacing"/>
    <w:link w:val="Style_7"/>
    <w:rPr>
      <w:rFonts w:ascii="Times New Roman" w:hAnsi="Times New Roman"/>
      <w:color w:val="000000"/>
      <w:sz w:val="24"/>
    </w:rPr>
  </w:style>
  <w:style w:styleId="Style_3" w:type="paragraph">
    <w:name w:val="Гиперссылка1"/>
    <w:basedOn w:val="Style_18"/>
    <w:link w:val="Style_3_ch"/>
    <w:rPr>
      <w:color w:themeColor="hyperlink" w:val="0000FF"/>
      <w:u w:val="single"/>
    </w:rPr>
  </w:style>
  <w:style w:styleId="Style_3_ch" w:type="character">
    <w:name w:val="Гиперссылка1"/>
    <w:basedOn w:val="Style_18_ch"/>
    <w:link w:val="Style_3"/>
    <w:rPr>
      <w:color w:themeColor="hyperlink" w:val="0000FF"/>
      <w:u w:val="single"/>
    </w:rPr>
  </w:style>
  <w:style w:styleId="Style_27" w:type="paragraph">
    <w:name w:val="toc 8"/>
    <w:next w:val="Style_6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6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2026-01-29T14:23:53Z</dcterms:modified>
</cp:coreProperties>
</file>